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358B4" w14:textId="621E5789" w:rsidR="00137DBA" w:rsidRPr="006234CC" w:rsidRDefault="001C76A5" w:rsidP="00137DBA">
      <w:pPr>
        <w:pStyle w:val="NormalWeb"/>
        <w:jc w:val="both"/>
        <w:rPr>
          <w:rFonts w:asciiTheme="minorHAnsi" w:eastAsiaTheme="minorHAnsi" w:hAnsiTheme="minorHAnsi" w:cstheme="minorBidi"/>
          <w:b/>
          <w:sz w:val="28"/>
          <w:szCs w:val="22"/>
          <w:lang w:eastAsia="en-US"/>
        </w:rPr>
      </w:pPr>
      <w:r>
        <w:rPr>
          <w:rFonts w:asciiTheme="minorHAnsi" w:eastAsiaTheme="minorHAnsi" w:hAnsiTheme="minorHAnsi" w:cstheme="minorBidi"/>
          <w:b/>
          <w:sz w:val="28"/>
          <w:szCs w:val="22"/>
          <w:lang w:eastAsia="en-US"/>
        </w:rPr>
        <w:t>6</w:t>
      </w:r>
      <w:r w:rsidR="00137DBA" w:rsidRPr="006234CC">
        <w:rPr>
          <w:rFonts w:asciiTheme="minorHAnsi" w:eastAsiaTheme="minorHAnsi" w:hAnsiTheme="minorHAnsi" w:cstheme="minorBidi"/>
          <w:b/>
          <w:sz w:val="28"/>
          <w:szCs w:val="22"/>
          <w:lang w:eastAsia="en-US"/>
        </w:rPr>
        <w:t>. Relación con el sector externo</w:t>
      </w:r>
    </w:p>
    <w:p w14:paraId="418EACF5" w14:textId="496A9C02" w:rsidR="00137DBA" w:rsidRDefault="00137DBA" w:rsidP="00137DBA">
      <w:pPr>
        <w:pStyle w:val="NormalWeb"/>
        <w:jc w:val="both"/>
        <w:rPr>
          <w:rFonts w:asciiTheme="minorHAnsi" w:eastAsiaTheme="minorHAnsi" w:hAnsiTheme="minorHAnsi" w:cstheme="minorBidi"/>
          <w:b/>
          <w:bCs/>
          <w:sz w:val="22"/>
          <w:szCs w:val="22"/>
          <w:lang w:eastAsia="en-US"/>
        </w:rPr>
      </w:pPr>
      <w:r w:rsidRPr="00137DBA">
        <w:rPr>
          <w:rFonts w:asciiTheme="minorHAnsi" w:eastAsiaTheme="minorHAnsi" w:hAnsiTheme="minorHAnsi" w:cstheme="minorBidi"/>
          <w:b/>
          <w:bCs/>
          <w:sz w:val="22"/>
          <w:szCs w:val="22"/>
          <w:lang w:eastAsia="en-US"/>
        </w:rPr>
        <w:t>6.1 Relación con el sector externo</w:t>
      </w:r>
    </w:p>
    <w:p w14:paraId="49DBD9DF" w14:textId="0C3880FF" w:rsidR="00137DBA" w:rsidRPr="001C76A5" w:rsidRDefault="00AF75B8" w:rsidP="00137DBA">
      <w:pPr>
        <w:jc w:val="both"/>
        <w:rPr>
          <w:b/>
          <w:bCs/>
        </w:rPr>
      </w:pPr>
      <w:r>
        <w:rPr>
          <w:b/>
          <w:bCs/>
        </w:rPr>
        <w:t xml:space="preserve">6.1.1 </w:t>
      </w:r>
      <w:r w:rsidR="00557E8D">
        <w:rPr>
          <w:b/>
          <w:bCs/>
        </w:rPr>
        <w:t>R</w:t>
      </w:r>
      <w:r w:rsidR="00137DBA" w:rsidRPr="001C76A5">
        <w:rPr>
          <w:b/>
          <w:bCs/>
        </w:rPr>
        <w:t xml:space="preserve">esultados generados en la vigencia del registro calificado, en relación con las estrategias proyectadas al momento de la obtención de este, en cuanto a la vinculación con el sector externo. </w:t>
      </w:r>
    </w:p>
    <w:p w14:paraId="0EFB495B" w14:textId="76A22DCB" w:rsidR="00137DBA" w:rsidRPr="001C76A5" w:rsidRDefault="00137DBA" w:rsidP="00137DBA">
      <w:pPr>
        <w:pStyle w:val="NormalWeb"/>
        <w:jc w:val="both"/>
        <w:rPr>
          <w:rFonts w:asciiTheme="minorHAnsi" w:eastAsiaTheme="minorHAnsi" w:hAnsiTheme="minorHAnsi" w:cstheme="minorBidi"/>
          <w:sz w:val="22"/>
          <w:szCs w:val="22"/>
          <w:lang w:eastAsia="en-US"/>
        </w:rPr>
      </w:pPr>
      <w:r w:rsidRPr="001C76A5">
        <w:rPr>
          <w:rFonts w:asciiTheme="minorHAnsi" w:eastAsiaTheme="minorHAnsi" w:hAnsiTheme="minorHAnsi" w:cstheme="minorBidi"/>
          <w:sz w:val="22"/>
          <w:szCs w:val="22"/>
          <w:lang w:eastAsia="en-US"/>
        </w:rPr>
        <w:t xml:space="preserve">Los maestros en formación de la licenciatura en Matemáticas de la Universidad Tecnológica del Chocó desarrollaron habilidades y actitudes para explorar fenómenos y eventos y resolver problemas propios; además, se formó un estudiante participativo, entusiasta, gestor, visionario para incidir en su contexto. Para lograr este propósito, la UTCH y la facultad de Ciencias de la Educación, estableció convenios con las siguientes instituciones: </w:t>
      </w:r>
      <w:bookmarkStart w:id="0" w:name="_Hlk72230903"/>
      <w:r w:rsidRPr="001C76A5">
        <w:rPr>
          <w:rFonts w:asciiTheme="minorHAnsi" w:eastAsiaTheme="minorHAnsi" w:hAnsiTheme="minorHAnsi" w:cstheme="minorBidi"/>
          <w:sz w:val="22"/>
          <w:szCs w:val="22"/>
          <w:lang w:eastAsia="en-US"/>
        </w:rPr>
        <w:t xml:space="preserve">Secretaría de Educación de Quibdó, Escuela Normal Superior “Manuel Cañizales”, Escuela Normal Superior de Quibdó, Institución Educativa Manuel Agustín Santa Coloma Villa, Institución Educativa Armando Luna Roa, Institución Educativa Gimnasio de Educación Media. Estos convenios viabilizan la realización de prácticas pedagógicas y la relación con el sector externo según la naturaleza del programa. </w:t>
      </w:r>
      <w:bookmarkEnd w:id="0"/>
      <w:r w:rsidRPr="001C76A5">
        <w:rPr>
          <w:rFonts w:asciiTheme="minorHAnsi" w:eastAsiaTheme="minorHAnsi" w:hAnsiTheme="minorHAnsi" w:cstheme="minorBidi"/>
          <w:sz w:val="22"/>
          <w:szCs w:val="22"/>
          <w:lang w:eastAsia="en-US"/>
        </w:rPr>
        <w:t xml:space="preserve">Lo anterior permitió la realización de la práctica pedagógica en las instituciones educativas de la básica y media donde se desarrollaron experiencias pedagógicas y didácticas con estrategias que mejoraron la calidad de los procesos de la enseñanza y el aprendizaje de las Matemáticas. Esto dio lugar al desarrollo de un trabajo con la comunidad y el logro de beneficios para ella, el programa de Licenciatura en Matemáticas, en su relación con el sector externo se permitió desarrollar actividades que aportaron al fortalecimiento integral de comunidades locales y regionales no solo aspectos educativos sino también socioeconómicos, políticos, de posconflicto y culturales importantes para la región chocoana y el país. Ejemplo de ello son: las nivelaciones a comunidades en el área específica, sobre operaciones básicas, razonamiento lógico, aritmética, asociaciones geométricas, equivalencias, física básica, y otros aspectos relacionados las etnias afrocolombianas e indígenas sobre cantidades, medidas, porcentajes, sobre lo cual existen estudios y documentación muy significativa. El programa brindó formación profesional a comunidades indígenas y orientación para desde sus </w:t>
      </w:r>
      <w:r w:rsidR="00AF75B8" w:rsidRPr="001C76A5">
        <w:rPr>
          <w:rFonts w:asciiTheme="minorHAnsi" w:eastAsiaTheme="minorHAnsi" w:hAnsiTheme="minorHAnsi" w:cstheme="minorBidi"/>
          <w:sz w:val="22"/>
          <w:szCs w:val="22"/>
          <w:lang w:eastAsia="en-US"/>
        </w:rPr>
        <w:t>prácticas</w:t>
      </w:r>
      <w:r w:rsidRPr="001C76A5">
        <w:rPr>
          <w:rFonts w:asciiTheme="minorHAnsi" w:eastAsiaTheme="minorHAnsi" w:hAnsiTheme="minorHAnsi" w:cstheme="minorBidi"/>
          <w:sz w:val="22"/>
          <w:szCs w:val="22"/>
          <w:lang w:eastAsia="en-US"/>
        </w:rPr>
        <w:t xml:space="preserve"> culturales implementar los conocimientos básicos adquiridos en el are específica, generando un ambiente de contextualización del conocimiento impartido y fortalecido. </w:t>
      </w:r>
    </w:p>
    <w:p w14:paraId="66E453C5" w14:textId="062F5E47" w:rsidR="00137DBA" w:rsidRDefault="00137DBA" w:rsidP="006C1EB7">
      <w:pPr>
        <w:pStyle w:val="NormalWeb"/>
        <w:jc w:val="both"/>
        <w:rPr>
          <w:rFonts w:asciiTheme="minorHAnsi" w:eastAsiaTheme="minorHAnsi" w:hAnsiTheme="minorHAnsi" w:cstheme="minorBidi"/>
          <w:sz w:val="22"/>
          <w:szCs w:val="22"/>
          <w:lang w:eastAsia="en-US"/>
        </w:rPr>
      </w:pPr>
      <w:r w:rsidRPr="001C76A5">
        <w:rPr>
          <w:rFonts w:asciiTheme="minorHAnsi" w:eastAsiaTheme="minorHAnsi" w:hAnsiTheme="minorHAnsi" w:cstheme="minorBidi"/>
          <w:sz w:val="22"/>
          <w:szCs w:val="22"/>
          <w:lang w:eastAsia="en-US"/>
        </w:rPr>
        <w:t>Por otra parte, la formación de los graduados de acuerdo con el perfil ocupacional del egresado de Licenciatura en Matemáticas de la Universidad Tecnológica del Chocó, los profesionales de este Programa se desempeña</w:t>
      </w:r>
      <w:r w:rsidR="006C1EB7" w:rsidRPr="001C76A5">
        <w:rPr>
          <w:rFonts w:asciiTheme="minorHAnsi" w:eastAsiaTheme="minorHAnsi" w:hAnsiTheme="minorHAnsi" w:cstheme="minorBidi"/>
          <w:sz w:val="22"/>
          <w:szCs w:val="22"/>
          <w:lang w:eastAsia="en-US"/>
        </w:rPr>
        <w:t>ron y desempeñan</w:t>
      </w:r>
      <w:r w:rsidRPr="001C76A5">
        <w:rPr>
          <w:rFonts w:asciiTheme="minorHAnsi" w:eastAsiaTheme="minorHAnsi" w:hAnsiTheme="minorHAnsi" w:cstheme="minorBidi"/>
          <w:sz w:val="22"/>
          <w:szCs w:val="22"/>
          <w:lang w:eastAsia="en-US"/>
        </w:rPr>
        <w:t xml:space="preserve"> en instituciones educativas públicas y privadas en todo el país donde ejercen cargos como directivos y como orientadores </w:t>
      </w:r>
      <w:r w:rsidR="006C1EB7" w:rsidRPr="001C76A5">
        <w:rPr>
          <w:rFonts w:asciiTheme="minorHAnsi" w:eastAsiaTheme="minorHAnsi" w:hAnsiTheme="minorHAnsi" w:cstheme="minorBidi"/>
          <w:sz w:val="22"/>
          <w:szCs w:val="22"/>
          <w:lang w:eastAsia="en-US"/>
        </w:rPr>
        <w:t>de educación secundaria y superior, ademas de coordinadores de áreas específicas y lideres investigadores que aportan significativamente a la mejora de procesos d enseñanza aprendizaje para implementación del área específica en el contexto</w:t>
      </w:r>
      <w:r w:rsidRPr="001C76A5">
        <w:rPr>
          <w:rFonts w:asciiTheme="minorHAnsi" w:eastAsiaTheme="minorHAnsi" w:hAnsiTheme="minorHAnsi" w:cstheme="minorBidi"/>
          <w:sz w:val="22"/>
          <w:szCs w:val="22"/>
          <w:lang w:eastAsia="en-US"/>
        </w:rPr>
        <w:t>, además en el sector gubernamental y empresa privada donde apoyan procesos alternos a su formación y directamente relacionados con el fortalecimiento integral de la comunidad.</w:t>
      </w:r>
    </w:p>
    <w:p w14:paraId="611DBA33" w14:textId="77777777" w:rsidR="00CE3418" w:rsidRPr="001C76A5" w:rsidRDefault="00CE3418" w:rsidP="00CE3418">
      <w:pPr>
        <w:jc w:val="both"/>
        <w:rPr>
          <w:b/>
          <w:bCs/>
        </w:rPr>
      </w:pPr>
      <w:r>
        <w:rPr>
          <w:b/>
          <w:bCs/>
        </w:rPr>
        <w:t>6.2.1 N</w:t>
      </w:r>
      <w:r w:rsidRPr="001C76A5">
        <w:rPr>
          <w:b/>
          <w:bCs/>
        </w:rPr>
        <w:t>uevas estrategias para desarrollar, fortalecer o consolidar la vinculación con el sector externo.</w:t>
      </w:r>
    </w:p>
    <w:p w14:paraId="4C7D2126" w14:textId="77777777" w:rsidR="00CE3418" w:rsidRPr="001C76A5" w:rsidRDefault="00CE3418" w:rsidP="00CE3418">
      <w:pPr>
        <w:jc w:val="both"/>
      </w:pPr>
      <w:r w:rsidRPr="001C76A5">
        <w:t xml:space="preserve">Para desarrollar, fortalecer o consolidar la vinculación con el sector externo desde el programa de Licenciatura en Matemáticas se ha contemplado:  Garantizar el desarrollo de manera objetiva, como parte de la formación académica de los estudiantes, proporcionando espacios de aprendizaje para </w:t>
      </w:r>
      <w:r w:rsidRPr="001C76A5">
        <w:lastRenderedPageBreak/>
        <w:t>la adquisición de habilidades y destrezas, en la articulación de la teoría con la práctica. Lograr el afianzamiento del proceso de aprendizaje y enseñabilidad de la formación del licenciado para la adquisición de nuevos saberes, que eleven su nivel de competitividad. Posibilitar la utilización de la investigación, técnicas, metodologías y procesos como formas de generar nuevos conocimientos y saberes para fundamentar la intervención desde su saber específico.</w:t>
      </w:r>
    </w:p>
    <w:p w14:paraId="776D9AD9" w14:textId="77777777" w:rsidR="00CE3418" w:rsidRPr="001C76A5" w:rsidRDefault="00CE3418" w:rsidP="00CE3418">
      <w:pPr>
        <w:jc w:val="both"/>
      </w:pPr>
      <w:r w:rsidRPr="001C76A5">
        <w:t>Promover la proyección social de la universidad, hacia los diferentes sectores y actores del entorno local, regional y nacional, desde el cual se fortalecerán los lazos de articulación y motivación de la educación media y básica con la educación superior. Contribuir a la formación integral de los futuros maestros, utilizado entre otras estrategias, las prácticas en el marco de las salidas de campo y estas como una herramienta fundamental pedagógica - didáctica dentro del saber específico del educando. Desde esta perspectiva, se conduce a la formación investigativa del alumno maestro, orientados al fortalecimiento de sus especificidades con enfoque pedagógico – didáctico y la oportunidad de formarse para resolver situaciones desde su propio ámbito. Es decir, que el profesional de la educación aprenderá a comprender la realidad a través de la práctica para ser capaz de intervenirla, tomar decisiones, producir conocimientos y lo más importante ser un crítico constructivo de la educación en pro del mejoramiento de esta (Fiorda, 2010).</w:t>
      </w:r>
    </w:p>
    <w:p w14:paraId="42DA7430" w14:textId="77777777" w:rsidR="00CE3418" w:rsidRPr="001C76A5" w:rsidRDefault="00CE3418" w:rsidP="00CE3418">
      <w:pPr>
        <w:jc w:val="both"/>
      </w:pPr>
      <w:r w:rsidRPr="001C76A5">
        <w:t>Utilizar la investigación como un medio para aportarle nociones teóricas-prácticas al educando, y con esto se facilite la transmisión de los saberes que el necesita aprender, tendrá las capacidades de curiosear en su entorno y/o realidad que viva diariamente sobre cómo funcionan las cosas, sobre los comportamientos de las personas, el aprender del educando y el papel de transformar todos estos aspectos dentro de las instituciones educativas para que el docente aprenda a enseñar mejor y el alumno pueda aprender a aprender. A través de la investigación se aumentará el éxito en la adquisición de conocimiento partiendo de saberes previos en el educando y hechos reales, para ser capaz de manera conjunta de dar respuesta a las múltiples preguntas que surjan acerca de cómo mejorar el enseñar-aprender en las instituciones educativas frente a el área específica y otras situaciones que involucran el desarrollo integral del educando que tiene que ver directamente con su campo de acción o contexto involucrado.</w:t>
      </w:r>
    </w:p>
    <w:p w14:paraId="62408AE7" w14:textId="77777777" w:rsidR="00CE3418" w:rsidRPr="001C76A5" w:rsidRDefault="00CE3418" w:rsidP="006C1EB7">
      <w:pPr>
        <w:pStyle w:val="NormalWeb"/>
        <w:jc w:val="both"/>
        <w:rPr>
          <w:rFonts w:asciiTheme="minorHAnsi" w:eastAsiaTheme="minorHAnsi" w:hAnsiTheme="minorHAnsi" w:cstheme="minorBidi"/>
          <w:sz w:val="22"/>
          <w:szCs w:val="22"/>
          <w:lang w:eastAsia="en-US"/>
        </w:rPr>
      </w:pPr>
    </w:p>
    <w:p w14:paraId="3377EDF1" w14:textId="09108347" w:rsidR="006C1EB7" w:rsidRPr="001C76A5" w:rsidRDefault="006C1EB7" w:rsidP="00137DBA">
      <w:pPr>
        <w:jc w:val="both"/>
      </w:pPr>
    </w:p>
    <w:sectPr w:rsidR="006C1EB7" w:rsidRPr="001C76A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roxima Nova">
    <w:altName w:val="Tahoma"/>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673E"/>
    <w:multiLevelType w:val="multilevel"/>
    <w:tmpl w:val="745C6D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440" w:hanging="108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800" w:hanging="1440"/>
      </w:pPr>
      <w:rPr>
        <w:rFonts w:hint="default"/>
        <w:b w:val="0"/>
        <w:sz w:val="22"/>
      </w:rPr>
    </w:lvl>
    <w:lvl w:ilvl="6">
      <w:start w:val="1"/>
      <w:numFmt w:val="decimal"/>
      <w:isLgl/>
      <w:lvlText w:val="%1.%2.%3.%4.%5.%6.%7."/>
      <w:lvlJc w:val="left"/>
      <w:pPr>
        <w:ind w:left="2160" w:hanging="1800"/>
      </w:pPr>
      <w:rPr>
        <w:rFonts w:hint="default"/>
        <w:b w:val="0"/>
        <w:sz w:val="22"/>
      </w:rPr>
    </w:lvl>
    <w:lvl w:ilvl="7">
      <w:start w:val="1"/>
      <w:numFmt w:val="decimal"/>
      <w:isLgl/>
      <w:lvlText w:val="%1.%2.%3.%4.%5.%6.%7.%8."/>
      <w:lvlJc w:val="left"/>
      <w:pPr>
        <w:ind w:left="2160" w:hanging="1800"/>
      </w:pPr>
      <w:rPr>
        <w:rFonts w:hint="default"/>
        <w:b w:val="0"/>
        <w:sz w:val="22"/>
      </w:rPr>
    </w:lvl>
    <w:lvl w:ilvl="8">
      <w:start w:val="1"/>
      <w:numFmt w:val="decimal"/>
      <w:isLgl/>
      <w:lvlText w:val="%1.%2.%3.%4.%5.%6.%7.%8.%9."/>
      <w:lvlJc w:val="left"/>
      <w:pPr>
        <w:ind w:left="2520" w:hanging="2160"/>
      </w:pPr>
      <w:rPr>
        <w:rFonts w:hint="default"/>
        <w:b w:val="0"/>
        <w:sz w:val="22"/>
      </w:rPr>
    </w:lvl>
  </w:abstractNum>
  <w:abstractNum w:abstractNumId="1" w15:restartNumberingAfterBreak="0">
    <w:nsid w:val="3C2171B7"/>
    <w:multiLevelType w:val="hybridMultilevel"/>
    <w:tmpl w:val="1DB292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B2B6E76"/>
    <w:multiLevelType w:val="hybridMultilevel"/>
    <w:tmpl w:val="A6DE2412"/>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FA9"/>
    <w:rsid w:val="00036344"/>
    <w:rsid w:val="000539F0"/>
    <w:rsid w:val="000C7D22"/>
    <w:rsid w:val="001303D9"/>
    <w:rsid w:val="00137DBA"/>
    <w:rsid w:val="00141185"/>
    <w:rsid w:val="001922F5"/>
    <w:rsid w:val="001924E7"/>
    <w:rsid w:val="001935C9"/>
    <w:rsid w:val="001A67F8"/>
    <w:rsid w:val="001C5A3C"/>
    <w:rsid w:val="001C76A5"/>
    <w:rsid w:val="00203CE7"/>
    <w:rsid w:val="002265A5"/>
    <w:rsid w:val="002D3361"/>
    <w:rsid w:val="003270BA"/>
    <w:rsid w:val="00333EE8"/>
    <w:rsid w:val="0033659B"/>
    <w:rsid w:val="00351650"/>
    <w:rsid w:val="003832E5"/>
    <w:rsid w:val="00393FFB"/>
    <w:rsid w:val="003B5124"/>
    <w:rsid w:val="003D16B6"/>
    <w:rsid w:val="00424E20"/>
    <w:rsid w:val="00431C01"/>
    <w:rsid w:val="00494488"/>
    <w:rsid w:val="004B29EF"/>
    <w:rsid w:val="004C5EAC"/>
    <w:rsid w:val="00500BF0"/>
    <w:rsid w:val="00544E95"/>
    <w:rsid w:val="00553EBE"/>
    <w:rsid w:val="00557E8D"/>
    <w:rsid w:val="005609BC"/>
    <w:rsid w:val="005616F9"/>
    <w:rsid w:val="005978E0"/>
    <w:rsid w:val="005A1024"/>
    <w:rsid w:val="005F6D42"/>
    <w:rsid w:val="006234CC"/>
    <w:rsid w:val="00631EFB"/>
    <w:rsid w:val="006A1151"/>
    <w:rsid w:val="006C1EB7"/>
    <w:rsid w:val="00700995"/>
    <w:rsid w:val="007C3D5D"/>
    <w:rsid w:val="008002AD"/>
    <w:rsid w:val="00824290"/>
    <w:rsid w:val="008548BD"/>
    <w:rsid w:val="008A277E"/>
    <w:rsid w:val="008F48D0"/>
    <w:rsid w:val="009210B9"/>
    <w:rsid w:val="00921B80"/>
    <w:rsid w:val="00942D29"/>
    <w:rsid w:val="00966372"/>
    <w:rsid w:val="009A36F6"/>
    <w:rsid w:val="009B481C"/>
    <w:rsid w:val="009E3F38"/>
    <w:rsid w:val="00A354C5"/>
    <w:rsid w:val="00A40F55"/>
    <w:rsid w:val="00AB19DF"/>
    <w:rsid w:val="00AD2164"/>
    <w:rsid w:val="00AD4E9E"/>
    <w:rsid w:val="00AF75B8"/>
    <w:rsid w:val="00B262BD"/>
    <w:rsid w:val="00B92256"/>
    <w:rsid w:val="00BF27C2"/>
    <w:rsid w:val="00C25B52"/>
    <w:rsid w:val="00C61455"/>
    <w:rsid w:val="00C76838"/>
    <w:rsid w:val="00CD513D"/>
    <w:rsid w:val="00CE3418"/>
    <w:rsid w:val="00D06536"/>
    <w:rsid w:val="00D479E1"/>
    <w:rsid w:val="00D56745"/>
    <w:rsid w:val="00D86808"/>
    <w:rsid w:val="00E4633B"/>
    <w:rsid w:val="00E82214"/>
    <w:rsid w:val="00E84679"/>
    <w:rsid w:val="00F26F63"/>
    <w:rsid w:val="00F52BB5"/>
    <w:rsid w:val="00F72F9A"/>
    <w:rsid w:val="00F765A1"/>
    <w:rsid w:val="00F92029"/>
    <w:rsid w:val="00FA7A89"/>
    <w:rsid w:val="00FB3FA9"/>
    <w:rsid w:val="00FB63F1"/>
    <w:rsid w:val="00FC7E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8871A"/>
  <w15:chartTrackingRefBased/>
  <w15:docId w15:val="{AA896587-76A8-4898-A9CA-04FA8256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FA9"/>
  </w:style>
  <w:style w:type="paragraph" w:styleId="Ttulo1">
    <w:name w:val="heading 1"/>
    <w:basedOn w:val="Normal"/>
    <w:link w:val="Ttulo1Car"/>
    <w:uiPriority w:val="9"/>
    <w:qFormat/>
    <w:rsid w:val="00393FFB"/>
    <w:pPr>
      <w:widowControl w:val="0"/>
      <w:autoSpaceDE w:val="0"/>
      <w:autoSpaceDN w:val="0"/>
      <w:spacing w:after="0" w:line="240" w:lineRule="auto"/>
      <w:ind w:left="596"/>
      <w:outlineLvl w:val="0"/>
    </w:pPr>
    <w:rPr>
      <w:rFonts w:ascii="Times New Roman" w:eastAsia="Times New Roman" w:hAnsi="Times New Roman" w:cs="Times New Roman"/>
      <w:b/>
      <w:bCs/>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B3FA9"/>
    <w:pPr>
      <w:ind w:left="720"/>
      <w:contextualSpacing/>
    </w:pPr>
  </w:style>
  <w:style w:type="character" w:customStyle="1" w:styleId="Ttulo1Car">
    <w:name w:val="Título 1 Car"/>
    <w:basedOn w:val="Fuentedeprrafopredeter"/>
    <w:link w:val="Ttulo1"/>
    <w:uiPriority w:val="9"/>
    <w:rsid w:val="00393FFB"/>
    <w:rPr>
      <w:rFonts w:ascii="Times New Roman" w:eastAsia="Times New Roman" w:hAnsi="Times New Roman" w:cs="Times New Roman"/>
      <w:b/>
      <w:bCs/>
      <w:lang w:val="es-ES" w:eastAsia="es-ES" w:bidi="es-ES"/>
    </w:rPr>
  </w:style>
  <w:style w:type="paragraph" w:styleId="NormalWeb">
    <w:name w:val="Normal (Web)"/>
    <w:basedOn w:val="Normal"/>
    <w:uiPriority w:val="99"/>
    <w:unhideWhenUsed/>
    <w:rsid w:val="00137DB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Descripcin">
    <w:name w:val="caption"/>
    <w:basedOn w:val="Normal"/>
    <w:next w:val="Normal"/>
    <w:uiPriority w:val="35"/>
    <w:unhideWhenUsed/>
    <w:qFormat/>
    <w:rsid w:val="00351650"/>
    <w:pPr>
      <w:spacing w:after="200" w:line="240" w:lineRule="auto"/>
    </w:pPr>
    <w:rPr>
      <w:rFonts w:ascii="Proxima Nova" w:eastAsia="Proxima Nova" w:hAnsi="Proxima Nova" w:cs="Proxima Nova"/>
      <w:i/>
      <w:iCs/>
      <w:color w:val="44546A" w:themeColor="text2"/>
      <w:sz w:val="18"/>
      <w:szCs w:val="18"/>
      <w:lang w:val="es" w:eastAsia="es-CO"/>
    </w:rPr>
  </w:style>
  <w:style w:type="paragraph" w:styleId="Textoindependiente3">
    <w:name w:val="Body Text 3"/>
    <w:basedOn w:val="Normal"/>
    <w:link w:val="Textoindependiente3Car"/>
    <w:rsid w:val="00351650"/>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351650"/>
    <w:rPr>
      <w:rFonts w:ascii="Times New Roman" w:eastAsia="Times New Roman" w:hAnsi="Times New Roman" w:cs="Times New Roman"/>
      <w:sz w:val="16"/>
      <w:szCs w:val="16"/>
      <w:lang w:val="es-ES" w:eastAsia="es-ES"/>
    </w:rPr>
  </w:style>
  <w:style w:type="table" w:styleId="Tablaconcuadrcula">
    <w:name w:val="Table Grid"/>
    <w:basedOn w:val="Tablanormal"/>
    <w:uiPriority w:val="39"/>
    <w:rsid w:val="00351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32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948</Words>
  <Characters>5215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VICE-EDU</dc:creator>
  <cp:keywords/>
  <dc:description/>
  <cp:lastModifiedBy>SANDRA BONILLA</cp:lastModifiedBy>
  <cp:revision>6</cp:revision>
  <dcterms:created xsi:type="dcterms:W3CDTF">2021-05-21T18:55:00Z</dcterms:created>
  <dcterms:modified xsi:type="dcterms:W3CDTF">2021-05-27T18:18:00Z</dcterms:modified>
</cp:coreProperties>
</file>